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-990" w:right="-990" w:firstLine="0"/>
        <w:rPr>
          <w:b w:val="1"/>
          <w:sz w:val="32"/>
          <w:szCs w:val="32"/>
        </w:rPr>
      </w:pPr>
      <w:bookmarkStart w:colFirst="0" w:colLast="0" w:name="_6ppbpbm2m84i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Immediate AntiRetroviral Therapy (iART) Protocol: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*immediate antiretroviral therapy has been shown to improve patient outcomes in health and adherence.</w:t>
      </w:r>
    </w:p>
    <w:tbl>
      <w:tblPr>
        <w:tblStyle w:val="Table1"/>
        <w:tblW w:w="1075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5910"/>
        <w:tblGridChange w:id="0">
          <w:tblGrid>
            <w:gridCol w:w="4845"/>
            <w:gridCol w:w="5910"/>
          </w:tblGrid>
        </w:tblGridChange>
      </w:tblGrid>
      <w:tr>
        <w:trPr>
          <w:cantSplit w:val="0"/>
          <w:tblHeader w:val="0"/>
        </w:trPr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Who is eligible for iART?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Who is not eligible for iART?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previously treated HIV &amp;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positive HIV rapid tests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Positive 4th gen HIV test by blood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Detectable HIV RNA “viral load”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18 years of age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Medically &amp; psychologically stable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Substance use is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contraindication to iART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(Those previously on PrEP are okay to start iART, if concerns around resistance to PrEP, consider combo regimen below)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Previously treated HIV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Known kidney failure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Confirmed pregnancy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Appears medically or psychologically unstable: specifically signs of TB or cryptococcal meningitis. i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ART should be delayed in any person with signs or symptoms suggestive of meningitis, including headache, nausea or vomiting, light sensitivity, and changes in mental status (clinical discretion).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&lt;18 yrs of age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 to HIV Specialist: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https://providers.aahivm.org/referral-link-search</w:t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ind w:left="1440" w:firstLine="72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↓</w:t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🚫</w:t>
      </w: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Counseling/Assessment: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Provide HIV counseling: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HIV basics: viral loads, CD4, transmission, prevention, etc.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Risks of not treating HIV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Potential risks of starting HIV medicine today: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Immune reconstitution syndrome (rare, usually CD4&lt;100). Create a plan should they feel worse: ER, Office Visit, TeleMedicine Visit, etc.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Side Effects - now rare, but if any side effects develop, create a plan to communicate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with clinic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Some GI upset is normal, can take with food or before bedtime to reduce symptoms. A side effect free regimen should be possible for most patients..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Undetectable = Untransmittable: condoms should be used until undetectable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Partner notification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Adherence Counseling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any barriers to adherence: housing, transportation, etc.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Connect with HIV community organization to help decrease barriers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Ever been on PrEP/PEP? If so, when?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 interest in iART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not interested, refer to HIV Specialist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interested, proceed as below:</w:t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ind w:left="0" w:firstLine="0"/>
        <w:jc w:val="center"/>
        <w:rPr>
          <w:sz w:val="2"/>
          <w:szCs w:val="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↓</w:t>
      </w: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Wrap Around Services: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Insurance: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Confirm medical insurance status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Uninsured → Contact pharmacy for iART script + local HIV patient navigation services for retroactive coverage (depending on state)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Insured → Contact pharmacy to begin expedited prior authorization, or provide “starter pack” if available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Needs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needed, refer to mental health, social work, HIV patient navigation, community case workers, substance use treatment, syringe exchange referral, etc.</w:t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↓</w:t>
      </w:r>
    </w:p>
    <w:tbl>
      <w:tblPr>
        <w:tblStyle w:val="Table4"/>
        <w:tblW w:w="105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rPr>
          <w:cantSplit w:val="0"/>
          <w:tblHeader w:val="0"/>
        </w:trP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Labs drawn today: No need to wait for labs to come back before prescribing iART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HIV-1/2 antigen/antibody assay (if not already done)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HIV quantitative viral load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Baseline HIV genotypic resistance profile (PR-RT resistance and integrase resistance)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Baseline CD4 cell count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Testing for hepatitis A, B, and C viruses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Comprehensive metabolic panel (creatinine clearance, hepatic profile)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Sexually transmitted infection screening: urine, pharyngeal, and/or rectal + syphilis screening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Urinalysis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Pregnancy test for individuals of childbearing potential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↓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5250"/>
        <w:tblGridChange w:id="0">
          <w:tblGrid>
            <w:gridCol w:w="5280"/>
            <w:gridCol w:w="52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Provide iART: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Prescribe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of the below medication regimens. Prescriptions can be for 30 days, or a shorter “starter pack” may be used, if available: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Biktarvy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(Tenofovir alafenamide/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emtricitabine/bictegravir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(TAF 25 mg/FTC/BIC)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If recently on PrEP: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and concerned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about resistance, consider adding in Prezcobix (darunavir + cobicistat). 2 pills once a day. Check for drug to drug interactions with cobicistat containing regimen (statins, etc.)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Biktarvy+ Prezcobix once a day with food.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no resistance on genotype, stop the Prezcobix.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-Salama E, Hill L, Patel N, et al. Pharmacokinetics of bictegravir and tenofovir in combination with darunavir/cobicistat in treatment-experienced persons with HIV. J Acquir Immune Defic Syndr. 2021 Jul 19. doi: 10.1097/QAI.0000000000002765. PMID: 34285156.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Single-tablet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taken once daily, w or w/o food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not be used in patients with a creatinine clearance (CrCl) &lt;30 mL/min; re-evaluate after baseline laboratory testing results are available.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Magnesium- or aluminum-containing antacids may be taken 2 hours before or 6 hours after BIC; calcium-containing antacids or iron supplements may be taken simultaneously if taken with food.</w:t>
            </w:r>
          </w:p>
        </w:tc>
      </w:tr>
      <w:tr>
        <w:trPr>
          <w:cantSplit w:val="0"/>
          <w:trHeight w:val="1952.8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Tivicay + Descovy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(dolutegravir and Tenofovir alafenamide/Emtricitabine; DTG &amp; TAF 25mg/FTC)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Two pills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taken together once a day, w/ or w/o food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not be used in patients with CrCl &lt;30 mL/min; re-evaluate after baseline laboratory testing results are available.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Magnesium- or aluminum-containing antacids may be taken 2 hours before or 6 hours after DTG; calcium-containing antacids or iron supplements may be taken simultaneously if taken with food.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Symtuza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(darunavir/cobicistat/tenofovir alafenamide/emtricitabine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TAF 10 mg/FTC/DRV/COBI)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Single-tablet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taken once a day with food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not be used in patients with a creatinine clearance (CrCl) &lt;30 mL/min; re-evaluate after baseline laboratory testing results are available.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Interaction with certain statins, inhaled steroids, oral steroids and other cyp3a4 inhibited meds. (Avoid in polypharmacy)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hiv-druginteractions.org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boost recreational substances</w:t>
            </w:r>
          </w:p>
        </w:tc>
      </w:tr>
    </w:tbl>
    <w:p w:rsidR="00000000" w:rsidDel="00000000" w:rsidP="00000000" w:rsidRDefault="00000000" w:rsidRPr="00000000" w14:paraId="00000056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↓</w:t>
      </w:r>
    </w:p>
    <w:tbl>
      <w:tblPr>
        <w:tblStyle w:val="Table6"/>
        <w:tblW w:w="104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rHeight w:val="371.982421875" w:hRule="atLeast"/>
          <w:tblHeader w:val="0"/>
        </w:trPr>
        <w:tc>
          <w:tcPr>
            <w:shd w:fill="783f0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Follow-Up: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Once iART initiated: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IF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iART provider is not managing long-term follow up, schedule with new provider before iART prescription runs out (recommend 7 days)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Scheduled before pt leaves clinic during iART initiation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 can be in-person or TeleMedicine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 hr check in by nursing, patient navigator, social worker, etc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Side Effects?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Psycho-social support needed?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Clarify any questions about iART/HIV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 Results: provided either via phone, teleMedicine, office visit, or through electronic medical record messenager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CD4 &lt; 200 start Bactrim DS 1 pill PO QD or Bactrim SS 1 pill PO QD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CD4 &lt; 100 consider referral to HIV Specialist for consult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Genotype: If M184V is noted, above regimens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need to be altered.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Genotype: If K65R is noted, refer to HIV Specialist and stop iART (Exception: Biktarvy + Prezcobix does not need to be stopped) . New regimen will be needed.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Genotype: if integrase resistance to bictegravir or dolutegravir, stop iART and refer to HIV Specialist. New regimen will be needed. (Very unlikely to occur)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eGFR &lt;30, stop iART and refer to HIV Specialist.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day follow up for next labs, check: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HIV RNA “viral load”; CMP; asses adherence and any barriers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Once undetectable, follow up q 3 months for the first year for: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HIV RNA “viral load”; CD4 count; CMP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 screening as appropriate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Prescribe 90 days worth of medication to improve adherence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 not undetectable, follow up monthly and identify any barriers to adherence and refer appropriately</w:t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ind w:left="72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HIV Guidelines: </w:t>
      </w:r>
      <w:r w:rsidDel="00000000" w:rsidR="00000000" w:rsidRPr="00000000">
        <w:rPr>
          <w:sz w:val="18"/>
          <w:szCs w:val="18"/>
          <w:rtl w:val="0"/>
        </w:rPr>
        <w:t xml:space="preserve">https://www.hivguidelines.org/antiretroviral-therapy/when-to-start-plus-rapid-start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27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